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58" w:rsidRDefault="00302058" w:rsidP="00302058">
      <w:pPr>
        <w:spacing w:before="288" w:line="288" w:lineRule="auto"/>
        <w:jc w:val="center"/>
        <w:rPr>
          <w:color w:val="000000"/>
        </w:rPr>
      </w:pPr>
      <w:r>
        <w:rPr>
          <w:noProof/>
          <w:color w:val="000000"/>
        </w:rPr>
        <w:drawing>
          <wp:inline distT="0" distB="0" distL="0" distR="0">
            <wp:extent cx="542925" cy="581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p w:rsidR="00302058" w:rsidRPr="00302058" w:rsidRDefault="00302058" w:rsidP="00302058">
      <w:pPr>
        <w:jc w:val="center"/>
        <w:rPr>
          <w:rFonts w:ascii="Comic Sans MS" w:eastAsia="Comic Sans MS" w:hAnsi="Comic Sans MS" w:cs="Comic Sans MS"/>
          <w:b/>
          <w:color w:val="000000"/>
          <w:sz w:val="20"/>
          <w:szCs w:val="20"/>
        </w:rPr>
      </w:pPr>
      <w:r w:rsidRPr="00302058">
        <w:rPr>
          <w:rFonts w:ascii="Comic Sans MS" w:eastAsia="Comic Sans MS" w:hAnsi="Comic Sans MS" w:cs="Comic Sans MS"/>
          <w:b/>
          <w:color w:val="000000"/>
          <w:sz w:val="20"/>
          <w:szCs w:val="20"/>
        </w:rPr>
        <w:t>ISTITUTO COMPRENSIVO STATALE “San Francesco”</w:t>
      </w:r>
    </w:p>
    <w:p w:rsidR="00302058" w:rsidRPr="00302058" w:rsidRDefault="00302058" w:rsidP="00302058">
      <w:pPr>
        <w:jc w:val="center"/>
        <w:rPr>
          <w:rFonts w:ascii="Comic Sans MS" w:eastAsia="Comic Sans MS" w:hAnsi="Comic Sans MS" w:cs="Comic Sans MS"/>
          <w:color w:val="000000"/>
          <w:sz w:val="16"/>
          <w:szCs w:val="16"/>
        </w:rPr>
      </w:pPr>
      <w:r w:rsidRPr="00302058">
        <w:rPr>
          <w:rFonts w:ascii="Comic Sans MS" w:eastAsia="Comic Sans MS" w:hAnsi="Comic Sans MS" w:cs="Comic Sans MS"/>
          <w:color w:val="000000"/>
          <w:sz w:val="16"/>
          <w:szCs w:val="16"/>
        </w:rPr>
        <w:t>di Scuola dell’Infanzia – Primaria – Secondaria di 1° grado </w:t>
      </w:r>
    </w:p>
    <w:p w:rsidR="00302058" w:rsidRPr="00302058" w:rsidRDefault="00302058" w:rsidP="00302058">
      <w:pPr>
        <w:jc w:val="center"/>
        <w:rPr>
          <w:color w:val="000000"/>
          <w:sz w:val="16"/>
          <w:szCs w:val="16"/>
        </w:rPr>
      </w:pPr>
      <w:r w:rsidRPr="00302058">
        <w:rPr>
          <w:rFonts w:ascii="Comic Sans MS" w:eastAsia="Comic Sans MS" w:hAnsi="Comic Sans MS" w:cs="Comic Sans MS"/>
          <w:b/>
          <w:color w:val="000000"/>
          <w:sz w:val="16"/>
          <w:szCs w:val="16"/>
        </w:rPr>
        <w:t>60035</w:t>
      </w:r>
      <w:r w:rsidRPr="00302058">
        <w:rPr>
          <w:color w:val="000000"/>
          <w:sz w:val="16"/>
          <w:szCs w:val="16"/>
        </w:rPr>
        <w:t xml:space="preserve"> </w:t>
      </w:r>
      <w:r w:rsidRPr="00302058">
        <w:rPr>
          <w:rFonts w:ascii="Comic Sans MS" w:eastAsia="Comic Sans MS" w:hAnsi="Comic Sans MS" w:cs="Comic Sans MS"/>
          <w:color w:val="000000"/>
          <w:sz w:val="16"/>
          <w:szCs w:val="16"/>
        </w:rPr>
        <w:t xml:space="preserve">- </w:t>
      </w:r>
      <w:r w:rsidRPr="00302058">
        <w:rPr>
          <w:rFonts w:ascii="Comic Sans MS" w:eastAsia="Comic Sans MS" w:hAnsi="Comic Sans MS" w:cs="Comic Sans MS"/>
          <w:b/>
          <w:color w:val="000000"/>
          <w:sz w:val="16"/>
          <w:szCs w:val="16"/>
        </w:rPr>
        <w:t>JESI (AN) – Viale Verdi 29</w:t>
      </w:r>
    </w:p>
    <w:p w:rsidR="00302058" w:rsidRPr="00302058" w:rsidRDefault="00302058" w:rsidP="00302058">
      <w:pPr>
        <w:jc w:val="center"/>
        <w:rPr>
          <w:rFonts w:ascii="Comic Sans MS" w:eastAsia="Comic Sans MS" w:hAnsi="Comic Sans MS" w:cs="Comic Sans MS"/>
          <w:b/>
          <w:color w:val="000000"/>
          <w:sz w:val="16"/>
          <w:szCs w:val="16"/>
        </w:rPr>
      </w:pPr>
      <w:r w:rsidRPr="00302058">
        <w:rPr>
          <w:rFonts w:ascii="Comic Sans MS" w:eastAsia="Comic Sans MS" w:hAnsi="Comic Sans MS" w:cs="Comic Sans MS"/>
          <w:b/>
          <w:color w:val="000000"/>
          <w:sz w:val="16"/>
          <w:szCs w:val="16"/>
        </w:rPr>
        <w:t>telefono: 0731299874 - 0731206356</w:t>
      </w:r>
    </w:p>
    <w:p w:rsidR="00302058" w:rsidRPr="00302058" w:rsidRDefault="00302058" w:rsidP="00302058">
      <w:pPr>
        <w:jc w:val="center"/>
        <w:rPr>
          <w:rFonts w:ascii="Comic Sans MS" w:eastAsia="Comic Sans MS" w:hAnsi="Comic Sans MS" w:cs="Comic Sans MS"/>
          <w:color w:val="000000"/>
          <w:sz w:val="16"/>
          <w:szCs w:val="16"/>
        </w:rPr>
      </w:pPr>
      <w:r w:rsidRPr="00302058">
        <w:rPr>
          <w:rFonts w:ascii="Comic Sans MS" w:eastAsia="Comic Sans MS" w:hAnsi="Comic Sans MS" w:cs="Comic Sans MS"/>
          <w:color w:val="000000"/>
          <w:sz w:val="16"/>
          <w:szCs w:val="16"/>
        </w:rPr>
        <w:t xml:space="preserve">Email: </w:t>
      </w:r>
      <w:hyperlink r:id="rId7" w:history="1">
        <w:r w:rsidRPr="00302058">
          <w:rPr>
            <w:rStyle w:val="Collegamentoipertestuale"/>
            <w:rFonts w:ascii="Comic Sans MS" w:eastAsia="Comic Sans MS" w:hAnsi="Comic Sans MS" w:cs="Comic Sans MS"/>
            <w:sz w:val="16"/>
            <w:szCs w:val="16"/>
          </w:rPr>
          <w:t>anic84000g@istruzione.it</w:t>
        </w:r>
      </w:hyperlink>
    </w:p>
    <w:p w:rsidR="00302058" w:rsidRPr="00302058" w:rsidRDefault="00302058" w:rsidP="00302058">
      <w:pPr>
        <w:jc w:val="center"/>
        <w:rPr>
          <w:rFonts w:ascii="Comic Sans MS" w:eastAsia="Comic Sans MS" w:hAnsi="Comic Sans MS" w:cs="Comic Sans MS"/>
          <w:color w:val="000000"/>
          <w:sz w:val="18"/>
          <w:szCs w:val="18"/>
        </w:rPr>
      </w:pPr>
    </w:p>
    <w:p w:rsidR="00302058" w:rsidRPr="00302058" w:rsidRDefault="00302058" w:rsidP="00302058">
      <w:pPr>
        <w:jc w:val="center"/>
        <w:rPr>
          <w:rFonts w:asciiTheme="majorHAnsi" w:eastAsia="Calibri" w:hAnsiTheme="majorHAnsi" w:cs="Calibri"/>
          <w:b/>
          <w:color w:val="000000"/>
          <w:sz w:val="36"/>
          <w:szCs w:val="36"/>
        </w:rPr>
      </w:pPr>
      <w:r w:rsidRPr="00302058">
        <w:rPr>
          <w:rFonts w:asciiTheme="majorHAnsi" w:hAnsiTheme="majorHAnsi"/>
          <w:b/>
          <w:color w:val="000000"/>
          <w:sz w:val="36"/>
          <w:szCs w:val="36"/>
        </w:rPr>
        <w:t xml:space="preserve">Piano di apprendimento individualizzato </w:t>
      </w:r>
      <w:proofErr w:type="spellStart"/>
      <w:r w:rsidRPr="00302058">
        <w:rPr>
          <w:rFonts w:asciiTheme="majorHAnsi" w:eastAsia="Calibri" w:hAnsiTheme="majorHAnsi" w:cs="Calibri"/>
          <w:b/>
          <w:color w:val="000000"/>
          <w:sz w:val="36"/>
          <w:szCs w:val="36"/>
        </w:rPr>
        <w:t>a.s.</w:t>
      </w:r>
      <w:proofErr w:type="spellEnd"/>
      <w:r w:rsidRPr="00302058">
        <w:rPr>
          <w:rFonts w:asciiTheme="majorHAnsi" w:eastAsia="Calibri" w:hAnsiTheme="majorHAnsi" w:cs="Calibri"/>
          <w:b/>
          <w:color w:val="000000"/>
          <w:sz w:val="36"/>
          <w:szCs w:val="36"/>
        </w:rPr>
        <w:t xml:space="preserve"> 2020/2021</w:t>
      </w:r>
    </w:p>
    <w:p w:rsidR="00302058" w:rsidRPr="00302058" w:rsidRDefault="00302058" w:rsidP="00302058">
      <w:pPr>
        <w:jc w:val="center"/>
        <w:rPr>
          <w:rFonts w:asciiTheme="majorHAnsi" w:hAnsiTheme="majorHAnsi"/>
          <w:color w:val="000000"/>
          <w:sz w:val="36"/>
          <w:szCs w:val="36"/>
        </w:rPr>
      </w:pPr>
    </w:p>
    <w:p w:rsidR="00302058" w:rsidRDefault="00302058" w:rsidP="00302058">
      <w:pPr>
        <w:spacing w:after="140" w:line="288" w:lineRule="auto"/>
        <w:rPr>
          <w:rFonts w:asciiTheme="majorHAnsi" w:hAnsiTheme="majorHAnsi"/>
          <w:color w:val="000000"/>
        </w:rPr>
      </w:pPr>
      <w:r>
        <w:rPr>
          <w:rFonts w:asciiTheme="majorHAnsi" w:hAnsiTheme="majorHAnsi"/>
          <w:color w:val="000000"/>
        </w:rPr>
        <w:t xml:space="preserve">Alunno/a __________________________________________  </w:t>
      </w:r>
      <w:proofErr w:type="spellStart"/>
      <w:r>
        <w:rPr>
          <w:rFonts w:asciiTheme="majorHAnsi" w:hAnsiTheme="majorHAnsi"/>
          <w:color w:val="000000"/>
        </w:rPr>
        <w:t>Scuola___________________________Classe</w:t>
      </w:r>
      <w:proofErr w:type="spellEnd"/>
      <w:r>
        <w:rPr>
          <w:rFonts w:asciiTheme="majorHAnsi" w:hAnsiTheme="majorHAnsi"/>
          <w:color w:val="000000"/>
        </w:rPr>
        <w:t>___________</w:t>
      </w:r>
    </w:p>
    <w:p w:rsidR="00302058" w:rsidRDefault="00302058" w:rsidP="00302058">
      <w:pPr>
        <w:spacing w:after="140" w:line="288" w:lineRule="auto"/>
        <w:rPr>
          <w:rFonts w:asciiTheme="majorHAnsi" w:hAnsiTheme="majorHAnsi"/>
          <w:color w:val="000000"/>
        </w:rPr>
      </w:pP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502"/>
        <w:gridCol w:w="4176"/>
        <w:gridCol w:w="4176"/>
      </w:tblGrid>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jc w:val="center"/>
              <w:rPr>
                <w:rFonts w:asciiTheme="majorHAnsi" w:hAnsiTheme="majorHAnsi"/>
                <w:b/>
                <w:color w:val="000000"/>
              </w:rPr>
            </w:pPr>
            <w:r>
              <w:rPr>
                <w:rFonts w:asciiTheme="majorHAnsi" w:hAnsiTheme="majorHAnsi"/>
                <w:b/>
                <w:color w:val="000000"/>
              </w:rPr>
              <w:t>Disciplina</w:t>
            </w:r>
          </w:p>
        </w:tc>
        <w:tc>
          <w:tcPr>
            <w:tcW w:w="2119" w:type="pct"/>
            <w:tcBorders>
              <w:top w:val="single" w:sz="4" w:space="0" w:color="000000"/>
              <w:left w:val="single" w:sz="4" w:space="0" w:color="000000"/>
              <w:bottom w:val="single" w:sz="4" w:space="0" w:color="000000"/>
              <w:right w:val="single" w:sz="4" w:space="0" w:color="000000"/>
            </w:tcBorders>
            <w:vAlign w:val="center"/>
            <w:hideMark/>
          </w:tcPr>
          <w:p w:rsidR="00302058" w:rsidRDefault="00302058">
            <w:pPr>
              <w:jc w:val="center"/>
              <w:rPr>
                <w:rFonts w:asciiTheme="majorHAnsi" w:hAnsiTheme="majorHAnsi"/>
                <w:b/>
                <w:color w:val="000000"/>
              </w:rPr>
            </w:pPr>
            <w:r>
              <w:rPr>
                <w:rFonts w:asciiTheme="majorHAnsi" w:hAnsiTheme="majorHAnsi"/>
                <w:b/>
                <w:color w:val="000000"/>
              </w:rPr>
              <w:t>O</w:t>
            </w:r>
            <w:r>
              <w:rPr>
                <w:rFonts w:asciiTheme="majorHAnsi" w:eastAsia="Garamond" w:hAnsiTheme="majorHAnsi" w:cs="Garamond"/>
                <w:b/>
                <w:color w:val="000000"/>
              </w:rPr>
              <w:t>biettivi di apprendimento da conseguire</w:t>
            </w:r>
          </w:p>
        </w:tc>
        <w:tc>
          <w:tcPr>
            <w:tcW w:w="2119" w:type="pct"/>
            <w:tcBorders>
              <w:top w:val="single" w:sz="4" w:space="0" w:color="000000"/>
              <w:left w:val="single" w:sz="4" w:space="0" w:color="000000"/>
              <w:bottom w:val="single" w:sz="4" w:space="0" w:color="000000"/>
              <w:right w:val="single" w:sz="4" w:space="0" w:color="000000"/>
            </w:tcBorders>
            <w:vAlign w:val="center"/>
            <w:hideMark/>
          </w:tcPr>
          <w:p w:rsidR="00302058" w:rsidRDefault="00302058">
            <w:pPr>
              <w:jc w:val="center"/>
              <w:rPr>
                <w:rFonts w:asciiTheme="majorHAnsi" w:hAnsiTheme="majorHAnsi"/>
                <w:b/>
                <w:color w:val="000000"/>
              </w:rPr>
            </w:pPr>
            <w:r>
              <w:rPr>
                <w:rFonts w:asciiTheme="majorHAnsi" w:eastAsia="Arial Unicode MS" w:hAnsiTheme="majorHAnsi" w:cstheme="minorHAnsi"/>
                <w:b/>
              </w:rPr>
              <w:t>Contenuti da consolidare</w:t>
            </w: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Italiano</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Storia</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Geografia</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Inglese</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Matematica</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Scienze</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Arte</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bookmarkStart w:id="0" w:name="_GoBack"/>
            <w:bookmarkEnd w:id="0"/>
            <w:r>
              <w:rPr>
                <w:rFonts w:asciiTheme="majorHAnsi" w:hAnsiTheme="majorHAnsi"/>
                <w:color w:val="000000"/>
              </w:rPr>
              <w:t>Musica</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Sc. Motorie</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r w:rsidR="00302058" w:rsidTr="00302058">
        <w:tc>
          <w:tcPr>
            <w:tcW w:w="762" w:type="pct"/>
            <w:tcBorders>
              <w:top w:val="single" w:sz="4" w:space="0" w:color="000000"/>
              <w:left w:val="single" w:sz="4" w:space="0" w:color="000000"/>
              <w:bottom w:val="single" w:sz="4" w:space="0" w:color="000000"/>
              <w:right w:val="nil"/>
            </w:tcBorders>
            <w:vAlign w:val="center"/>
            <w:hideMark/>
          </w:tcPr>
          <w:p w:rsidR="00302058" w:rsidRDefault="00302058">
            <w:pPr>
              <w:rPr>
                <w:rFonts w:asciiTheme="majorHAnsi" w:hAnsiTheme="majorHAnsi"/>
                <w:color w:val="000000"/>
              </w:rPr>
            </w:pPr>
            <w:r>
              <w:rPr>
                <w:rFonts w:asciiTheme="majorHAnsi" w:hAnsiTheme="majorHAnsi"/>
                <w:color w:val="000000"/>
              </w:rPr>
              <w:t>Religione</w:t>
            </w: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c>
          <w:tcPr>
            <w:tcW w:w="2119" w:type="pct"/>
            <w:tcBorders>
              <w:top w:val="single" w:sz="4" w:space="0" w:color="000000"/>
              <w:left w:val="single" w:sz="4" w:space="0" w:color="000000"/>
              <w:bottom w:val="single" w:sz="4" w:space="0" w:color="000000"/>
              <w:right w:val="single" w:sz="4" w:space="0" w:color="000000"/>
            </w:tcBorders>
            <w:vAlign w:val="center"/>
          </w:tcPr>
          <w:p w:rsidR="00302058" w:rsidRDefault="00302058">
            <w:pPr>
              <w:rPr>
                <w:rFonts w:asciiTheme="majorHAnsi" w:hAnsiTheme="majorHAnsi"/>
                <w:color w:val="000000"/>
              </w:rPr>
            </w:pPr>
          </w:p>
        </w:tc>
      </w:tr>
    </w:tbl>
    <w:p w:rsidR="00302058" w:rsidRPr="00302058" w:rsidRDefault="00302058" w:rsidP="00302058">
      <w:pPr>
        <w:jc w:val="right"/>
        <w:rPr>
          <w:rFonts w:asciiTheme="majorHAnsi" w:hAnsiTheme="majorHAnsi"/>
          <w:sz w:val="16"/>
          <w:szCs w:val="16"/>
        </w:rPr>
      </w:pPr>
      <w:r w:rsidRPr="00302058">
        <w:rPr>
          <w:rFonts w:asciiTheme="majorHAnsi" w:hAnsiTheme="majorHAnsi"/>
          <w:sz w:val="16"/>
          <w:szCs w:val="16"/>
        </w:rPr>
        <w:t>Griglia compilata secondo l’Ordinanza Ministeriale n.11 del 16 maggio 2020</w:t>
      </w:r>
    </w:p>
    <w:p w:rsidR="00302058" w:rsidRDefault="00302058" w:rsidP="00302058">
      <w:pPr>
        <w:rPr>
          <w:rFonts w:asciiTheme="majorHAnsi" w:hAnsiTheme="majorHAnsi"/>
        </w:rPr>
      </w:pPr>
    </w:p>
    <w:p w:rsidR="00302058" w:rsidRPr="00302058" w:rsidRDefault="00302058" w:rsidP="00302058">
      <w:pPr>
        <w:spacing w:line="276" w:lineRule="auto"/>
        <w:jc w:val="both"/>
        <w:rPr>
          <w:rFonts w:asciiTheme="majorHAnsi" w:hAnsiTheme="majorHAnsi"/>
          <w:sz w:val="20"/>
          <w:szCs w:val="20"/>
        </w:rPr>
      </w:pPr>
      <w:r w:rsidRPr="00302058">
        <w:rPr>
          <w:rFonts w:asciiTheme="majorHAnsi" w:hAnsiTheme="majorHAnsi"/>
          <w:b/>
          <w:sz w:val="20"/>
          <w:szCs w:val="20"/>
          <w:u w:val="single"/>
        </w:rPr>
        <w:t>Durante la pausa estiva</w:t>
      </w:r>
      <w:r w:rsidRPr="00302058">
        <w:rPr>
          <w:rFonts w:asciiTheme="majorHAnsi" w:hAnsiTheme="majorHAnsi"/>
          <w:sz w:val="20"/>
          <w:szCs w:val="20"/>
        </w:rPr>
        <w:t xml:space="preserve"> l’alunno effettuerà lo studio individuale dei contenuti da consolidare (indicati sopra per ciascuna materia) ed eseguirà i compiti assegnati dagli insegnanti.</w:t>
      </w:r>
    </w:p>
    <w:p w:rsidR="00302058" w:rsidRPr="00302058" w:rsidRDefault="00302058" w:rsidP="00302058">
      <w:pPr>
        <w:spacing w:line="276" w:lineRule="auto"/>
        <w:jc w:val="both"/>
        <w:rPr>
          <w:rFonts w:asciiTheme="majorHAnsi" w:hAnsiTheme="majorHAnsi"/>
          <w:sz w:val="20"/>
          <w:szCs w:val="20"/>
        </w:rPr>
      </w:pPr>
      <w:r w:rsidRPr="00302058">
        <w:rPr>
          <w:rFonts w:asciiTheme="majorHAnsi" w:hAnsiTheme="majorHAnsi"/>
          <w:b/>
          <w:sz w:val="20"/>
          <w:szCs w:val="20"/>
          <w:u w:val="single"/>
        </w:rPr>
        <w:t>Alla ripresa delle lezioni</w:t>
      </w:r>
      <w:r w:rsidRPr="00302058">
        <w:rPr>
          <w:rFonts w:asciiTheme="majorHAnsi" w:hAnsiTheme="majorHAnsi"/>
          <w:sz w:val="20"/>
          <w:szCs w:val="20"/>
        </w:rPr>
        <w:t xml:space="preserve">, dopo una prima immediata verifica del livello raggiunto negli apprendimenti, saranno effettuati gli opportuni interventi didattici con un’attività personalizzata di recupero dei contenuti disciplinari nell’ambito delle unità di apprendimento, attraverso l’utilizzo delle seguenti metodologie e strategie d’insegnamento:   </w:t>
      </w:r>
    </w:p>
    <w:p w:rsidR="00302058" w:rsidRPr="00302058" w:rsidRDefault="00302058" w:rsidP="00302058">
      <w:pPr>
        <w:spacing w:line="276" w:lineRule="auto"/>
        <w:jc w:val="both"/>
        <w:rPr>
          <w:rFonts w:asciiTheme="majorHAnsi" w:hAnsiTheme="majorHAnsi"/>
          <w:sz w:val="20"/>
          <w:szCs w:val="20"/>
        </w:rPr>
      </w:pPr>
      <w:r w:rsidRPr="00302058">
        <w:rPr>
          <w:rFonts w:asciiTheme="majorHAnsi" w:hAnsiTheme="majorHAnsi"/>
          <w:sz w:val="20"/>
          <w:szCs w:val="20"/>
        </w:rPr>
        <w:t xml:space="preserve">   </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modellamento</w:t>
      </w:r>
      <w:r w:rsidRPr="00302058">
        <w:rPr>
          <w:rFonts w:asciiTheme="majorHAnsi" w:hAnsiTheme="majorHAnsi"/>
          <w:sz w:val="20"/>
          <w:szCs w:val="20"/>
        </w:rPr>
        <w:t xml:space="preserve"> (l’insegnante offre esempi all’alunno su come svolgere un determinato compito),</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facilitazione</w:t>
      </w:r>
      <w:r w:rsidRPr="00302058">
        <w:rPr>
          <w:rFonts w:asciiTheme="majorHAnsi" w:hAnsiTheme="majorHAnsi"/>
          <w:sz w:val="20"/>
          <w:szCs w:val="20"/>
        </w:rPr>
        <w:t xml:space="preserve"> (sostegno dell’insegnante anche attraverso schemi o materiali),</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 xml:space="preserve">scomposizione </w:t>
      </w:r>
      <w:r w:rsidRPr="00302058">
        <w:rPr>
          <w:rFonts w:asciiTheme="majorHAnsi" w:hAnsiTheme="majorHAnsi"/>
          <w:sz w:val="20"/>
          <w:szCs w:val="20"/>
        </w:rPr>
        <w:t xml:space="preserve">(i contenuti sono scomposti e semplificati per permetterne il raggiungimento) </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allungamento dei tempi</w:t>
      </w:r>
      <w:r w:rsidRPr="00302058">
        <w:rPr>
          <w:rFonts w:asciiTheme="majorHAnsi" w:hAnsiTheme="majorHAnsi"/>
          <w:sz w:val="20"/>
          <w:szCs w:val="20"/>
        </w:rPr>
        <w:t xml:space="preserve"> di acquisizione dei contenuti disciplinari </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controllo dell’apprendimento</w:t>
      </w:r>
      <w:r w:rsidRPr="00302058">
        <w:rPr>
          <w:rFonts w:asciiTheme="majorHAnsi" w:hAnsiTheme="majorHAnsi"/>
          <w:sz w:val="20"/>
          <w:szCs w:val="20"/>
        </w:rPr>
        <w:t xml:space="preserve"> e delle competenze procedurali </w:t>
      </w:r>
      <w:r w:rsidRPr="00302058">
        <w:rPr>
          <w:rFonts w:asciiTheme="majorHAnsi" w:hAnsiTheme="majorHAnsi"/>
          <w:sz w:val="20"/>
          <w:szCs w:val="20"/>
          <w:u w:val="single"/>
        </w:rPr>
        <w:t>in itinere</w:t>
      </w:r>
      <w:r w:rsidRPr="00302058">
        <w:rPr>
          <w:rFonts w:asciiTheme="majorHAnsi" w:hAnsiTheme="majorHAnsi"/>
          <w:sz w:val="20"/>
          <w:szCs w:val="20"/>
        </w:rPr>
        <w:t xml:space="preserve"> </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apprendimento/rinforzo delle tecniche specifiche</w:t>
      </w:r>
      <w:r w:rsidRPr="00302058">
        <w:rPr>
          <w:rFonts w:asciiTheme="majorHAnsi" w:hAnsiTheme="majorHAnsi"/>
          <w:sz w:val="20"/>
          <w:szCs w:val="20"/>
        </w:rPr>
        <w:t xml:space="preserve"> per le varie fasi dello studio individuale al fine di acquisire un metodo di studio autonomo ed organizzare il proprio lavoro in modo efficace. </w:t>
      </w:r>
    </w:p>
    <w:p w:rsidR="00302058" w:rsidRPr="00302058" w:rsidRDefault="00302058" w:rsidP="00302058">
      <w:pPr>
        <w:pStyle w:val="Paragrafoelenco"/>
        <w:numPr>
          <w:ilvl w:val="0"/>
          <w:numId w:val="1"/>
        </w:numPr>
        <w:spacing w:line="276" w:lineRule="auto"/>
        <w:rPr>
          <w:rFonts w:asciiTheme="majorHAnsi" w:hAnsiTheme="majorHAnsi"/>
          <w:sz w:val="20"/>
          <w:szCs w:val="20"/>
        </w:rPr>
      </w:pPr>
      <w:r w:rsidRPr="00302058">
        <w:rPr>
          <w:rFonts w:asciiTheme="majorHAnsi" w:hAnsiTheme="majorHAnsi"/>
          <w:sz w:val="20"/>
          <w:szCs w:val="20"/>
          <w:u w:val="single"/>
        </w:rPr>
        <w:t>affidamento di compiti a crescente livello di difficoltà</w:t>
      </w:r>
      <w:r w:rsidRPr="00302058">
        <w:rPr>
          <w:rFonts w:asciiTheme="majorHAnsi" w:hAnsiTheme="majorHAnsi"/>
          <w:sz w:val="20"/>
          <w:szCs w:val="20"/>
        </w:rPr>
        <w:t xml:space="preserve"> e/o responsabilità al fine di potenziare la motivazione.</w:t>
      </w:r>
    </w:p>
    <w:p w:rsidR="00302058" w:rsidRPr="00302058" w:rsidRDefault="00302058" w:rsidP="00302058">
      <w:pPr>
        <w:rPr>
          <w:rFonts w:asciiTheme="majorHAnsi" w:hAnsiTheme="majorHAnsi"/>
          <w:sz w:val="20"/>
          <w:szCs w:val="20"/>
        </w:rPr>
      </w:pPr>
    </w:p>
    <w:p w:rsidR="00302058" w:rsidRPr="00302058" w:rsidRDefault="00302058" w:rsidP="00302058">
      <w:pPr>
        <w:rPr>
          <w:rFonts w:asciiTheme="majorHAnsi" w:hAnsiTheme="majorHAnsi"/>
          <w:sz w:val="20"/>
          <w:szCs w:val="20"/>
        </w:rPr>
      </w:pPr>
      <w:r w:rsidRPr="00302058">
        <w:rPr>
          <w:rFonts w:asciiTheme="majorHAnsi" w:hAnsiTheme="majorHAnsi"/>
          <w:sz w:val="20"/>
          <w:szCs w:val="20"/>
        </w:rPr>
        <w:t>Jesi, ______________</w:t>
      </w:r>
    </w:p>
    <w:p w:rsidR="00302058" w:rsidRPr="00302058" w:rsidRDefault="00302058" w:rsidP="00302058">
      <w:pPr>
        <w:ind w:left="7200"/>
        <w:rPr>
          <w:rFonts w:asciiTheme="majorHAnsi" w:hAnsiTheme="majorHAnsi"/>
          <w:color w:val="0000FF"/>
          <w:sz w:val="20"/>
          <w:szCs w:val="20"/>
        </w:rPr>
      </w:pPr>
      <w:r w:rsidRPr="00302058">
        <w:rPr>
          <w:rFonts w:asciiTheme="majorHAnsi" w:hAnsiTheme="majorHAnsi"/>
          <w:sz w:val="20"/>
          <w:szCs w:val="20"/>
        </w:rPr>
        <w:t>Il Consiglio di classe</w:t>
      </w:r>
    </w:p>
    <w:sectPr w:rsidR="00302058" w:rsidRPr="00302058" w:rsidSect="00302058">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D7696"/>
    <w:multiLevelType w:val="hybridMultilevel"/>
    <w:tmpl w:val="6292F42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58"/>
    <w:rsid w:val="00302058"/>
    <w:rsid w:val="003E7EE7"/>
    <w:rsid w:val="004A6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058"/>
    <w:pPr>
      <w:spacing w:after="0" w:line="240" w:lineRule="auto"/>
    </w:pPr>
    <w:rPr>
      <w:rFonts w:ascii="Liberation Serif" w:eastAsia="Liberation Serif" w:hAnsi="Liberation Serif" w:cs="Liberation Seri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058"/>
    <w:pPr>
      <w:ind w:left="720"/>
      <w:contextualSpacing/>
    </w:pPr>
  </w:style>
  <w:style w:type="paragraph" w:styleId="Testofumetto">
    <w:name w:val="Balloon Text"/>
    <w:basedOn w:val="Normale"/>
    <w:link w:val="TestofumettoCarattere"/>
    <w:uiPriority w:val="99"/>
    <w:semiHidden/>
    <w:unhideWhenUsed/>
    <w:rsid w:val="00302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58"/>
    <w:rPr>
      <w:rFonts w:ascii="Tahoma" w:eastAsia="Liberation Serif" w:hAnsi="Tahoma" w:cs="Tahoma"/>
      <w:sz w:val="16"/>
      <w:szCs w:val="16"/>
      <w:lang w:eastAsia="it-IT"/>
    </w:rPr>
  </w:style>
  <w:style w:type="character" w:styleId="Collegamentoipertestuale">
    <w:name w:val="Hyperlink"/>
    <w:basedOn w:val="Carpredefinitoparagrafo"/>
    <w:uiPriority w:val="99"/>
    <w:unhideWhenUsed/>
    <w:rsid w:val="00302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058"/>
    <w:pPr>
      <w:spacing w:after="0" w:line="240" w:lineRule="auto"/>
    </w:pPr>
    <w:rPr>
      <w:rFonts w:ascii="Liberation Serif" w:eastAsia="Liberation Serif" w:hAnsi="Liberation Serif" w:cs="Liberation Seri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058"/>
    <w:pPr>
      <w:ind w:left="720"/>
      <w:contextualSpacing/>
    </w:pPr>
  </w:style>
  <w:style w:type="paragraph" w:styleId="Testofumetto">
    <w:name w:val="Balloon Text"/>
    <w:basedOn w:val="Normale"/>
    <w:link w:val="TestofumettoCarattere"/>
    <w:uiPriority w:val="99"/>
    <w:semiHidden/>
    <w:unhideWhenUsed/>
    <w:rsid w:val="00302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2058"/>
    <w:rPr>
      <w:rFonts w:ascii="Tahoma" w:eastAsia="Liberation Serif" w:hAnsi="Tahoma" w:cs="Tahoma"/>
      <w:sz w:val="16"/>
      <w:szCs w:val="16"/>
      <w:lang w:eastAsia="it-IT"/>
    </w:rPr>
  </w:style>
  <w:style w:type="character" w:styleId="Collegamentoipertestuale">
    <w:name w:val="Hyperlink"/>
    <w:basedOn w:val="Carpredefinitoparagrafo"/>
    <w:uiPriority w:val="99"/>
    <w:unhideWhenUsed/>
    <w:rsid w:val="00302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ic84000g@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dcterms:created xsi:type="dcterms:W3CDTF">2020-05-29T12:08:00Z</dcterms:created>
  <dcterms:modified xsi:type="dcterms:W3CDTF">2020-05-30T07:37:00Z</dcterms:modified>
</cp:coreProperties>
</file>